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CCDBA" w14:textId="71A574B7" w:rsidR="007307E2" w:rsidRPr="007307E2" w:rsidRDefault="007307E2" w:rsidP="007307E2">
      <w:pPr>
        <w:spacing w:line="360" w:lineRule="auto"/>
        <w:ind w:right="-1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LEI Nº 611</w:t>
      </w:r>
      <w:r w:rsidRPr="007307E2">
        <w:rPr>
          <w:b/>
          <w:bCs/>
          <w:sz w:val="24"/>
          <w:szCs w:val="24"/>
          <w:u w:val="single"/>
        </w:rPr>
        <w:t xml:space="preserve">  DE  19 DE MARÇO DE 2024</w:t>
      </w:r>
    </w:p>
    <w:p w14:paraId="56785428" w14:textId="77777777" w:rsidR="007D408A" w:rsidRPr="007307E2" w:rsidRDefault="007D408A" w:rsidP="007D408A">
      <w:pPr>
        <w:rPr>
          <w:sz w:val="24"/>
          <w:szCs w:val="24"/>
        </w:rPr>
      </w:pPr>
    </w:p>
    <w:p w14:paraId="40593E49" w14:textId="77777777" w:rsidR="007D408A" w:rsidRPr="007307E2" w:rsidRDefault="007D408A" w:rsidP="007D408A">
      <w:pPr>
        <w:ind w:left="4536" w:hanging="4962"/>
        <w:jc w:val="both"/>
        <w:rPr>
          <w:b/>
          <w:sz w:val="24"/>
          <w:szCs w:val="24"/>
        </w:rPr>
      </w:pPr>
      <w:r w:rsidRPr="007307E2">
        <w:rPr>
          <w:sz w:val="24"/>
          <w:szCs w:val="24"/>
        </w:rPr>
        <w:tab/>
      </w:r>
      <w:r w:rsidRPr="007307E2">
        <w:rPr>
          <w:noProof/>
          <w:sz w:val="24"/>
          <w:szCs w:val="24"/>
        </w:rPr>
        <w:t>AUTORIZA REMANEJAMENTO TOTAL OU PARCIAL DE DOTAÇÕES ORÇAMENTÁRIAS PARA O EXERCÍCIO DE 2024 E DÁ OUTRAS PROVIDÊNCIA</w:t>
      </w:r>
      <w:r w:rsidRPr="007307E2">
        <w:rPr>
          <w:b/>
          <w:sz w:val="24"/>
          <w:szCs w:val="24"/>
        </w:rPr>
        <w:t>.</w:t>
      </w:r>
    </w:p>
    <w:p w14:paraId="3AB753F5" w14:textId="77777777" w:rsidR="007D408A" w:rsidRPr="007307E2" w:rsidRDefault="007D408A" w:rsidP="007D408A">
      <w:pPr>
        <w:jc w:val="right"/>
        <w:rPr>
          <w:b/>
          <w:sz w:val="24"/>
          <w:szCs w:val="24"/>
        </w:rPr>
      </w:pPr>
    </w:p>
    <w:p w14:paraId="261CA4E3" w14:textId="1183E5A3" w:rsidR="007D408A" w:rsidRPr="007307E2" w:rsidRDefault="007D408A" w:rsidP="007D408A">
      <w:pPr>
        <w:pStyle w:val="Corpodetexto"/>
        <w:spacing w:before="1" w:line="244" w:lineRule="auto"/>
        <w:jc w:val="both"/>
        <w:rPr>
          <w:noProof/>
          <w:sz w:val="24"/>
          <w:szCs w:val="24"/>
        </w:rPr>
      </w:pPr>
      <w:r w:rsidRPr="007307E2">
        <w:rPr>
          <w:b/>
          <w:noProof/>
          <w:sz w:val="24"/>
          <w:szCs w:val="24"/>
        </w:rPr>
        <w:t>Art 1º</w:t>
      </w:r>
      <w:r w:rsidRPr="007307E2">
        <w:rPr>
          <w:noProof/>
          <w:sz w:val="24"/>
          <w:szCs w:val="24"/>
        </w:rPr>
        <w:t xml:space="preserve"> Fica autorizada </w:t>
      </w:r>
      <w:r w:rsidRPr="007307E2">
        <w:rPr>
          <w:sz w:val="24"/>
          <w:szCs w:val="24"/>
        </w:rPr>
        <w:t xml:space="preserve">a transposição, o remanejamento ou a transferência de recursos de uma categoria de programação para outra ou de um órgão para outro </w:t>
      </w:r>
      <w:r w:rsidRPr="007307E2">
        <w:rPr>
          <w:noProof/>
          <w:sz w:val="24"/>
          <w:szCs w:val="24"/>
        </w:rPr>
        <w:t xml:space="preserve">e a consequente anulação total ou parcial de dotações orçamentárias contantes dos Orçamento Fiscal e da Seguridade Social do Exercício de 2024  - </w:t>
      </w:r>
      <w:r w:rsidRPr="007307E2">
        <w:rPr>
          <w:sz w:val="24"/>
          <w:szCs w:val="24"/>
        </w:rPr>
        <w:t xml:space="preserve">Lei Nº 608/2023, de 11/12/2023, </w:t>
      </w:r>
      <w:r w:rsidRPr="007307E2">
        <w:rPr>
          <w:noProof/>
          <w:sz w:val="24"/>
          <w:szCs w:val="24"/>
        </w:rPr>
        <w:t>até o valor de R$ 17.880.267,00 (Dezessete milhões, oitocentos e oitenta mil, duzentos e sessenta e sete reais),  correspondente a 50% do orçamento) utilizando como fonte de recurso as disponibilidades caracterizadas no parágrafo 1º, do Artigo 43, da Lei Federal nº 4.320, de 17 de março de 1964.</w:t>
      </w:r>
    </w:p>
    <w:p w14:paraId="33EE6BDC" w14:textId="77777777" w:rsidR="007D408A" w:rsidRPr="007307E2" w:rsidRDefault="007D408A" w:rsidP="007D408A">
      <w:pPr>
        <w:ind w:firstLine="2124"/>
        <w:jc w:val="both"/>
        <w:rPr>
          <w:noProof/>
          <w:sz w:val="24"/>
          <w:szCs w:val="24"/>
        </w:rPr>
      </w:pPr>
    </w:p>
    <w:p w14:paraId="5CACB721" w14:textId="63405A5A" w:rsidR="007D408A" w:rsidRPr="007307E2" w:rsidRDefault="007D408A" w:rsidP="007D408A">
      <w:pPr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 xml:space="preserve"> </w:t>
      </w:r>
      <w:r w:rsidRPr="007307E2">
        <w:rPr>
          <w:b/>
          <w:noProof/>
          <w:sz w:val="24"/>
          <w:szCs w:val="24"/>
        </w:rPr>
        <w:t>Art. 2º</w:t>
      </w:r>
      <w:r w:rsidRPr="007307E2">
        <w:rPr>
          <w:noProof/>
          <w:sz w:val="24"/>
          <w:szCs w:val="24"/>
        </w:rPr>
        <w:t xml:space="preserve"> Fica autorizado </w:t>
      </w:r>
      <w:r w:rsidRPr="007307E2">
        <w:rPr>
          <w:sz w:val="24"/>
          <w:szCs w:val="24"/>
        </w:rPr>
        <w:t xml:space="preserve">a transposição, o remanejamento ou a transferência de recursos de uma categoria de programação para outra ou de um órgão para outro </w:t>
      </w:r>
      <w:r w:rsidRPr="007307E2">
        <w:rPr>
          <w:noProof/>
          <w:sz w:val="24"/>
          <w:szCs w:val="24"/>
        </w:rPr>
        <w:t>de dotações vinculadas as despesas obrigatórias de carater continuado, como definidas no art. 17 da Lei de Responsabilidade Fiscal, e a outras despesas até o montante de R$ 17.880.267,00 (Dezessete milhões, oitocentos e oitenta mil, duzentos e sessenta e sete reais), utilizando como fonte de recurso as disponibilidades caracterizadas no parágrafo 1º, do Artigo 43, da Lei Federal nº 4.320, de 17 de março de 1964.</w:t>
      </w:r>
    </w:p>
    <w:p w14:paraId="68FA4F84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65C975AF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  <w:r w:rsidRPr="007307E2">
        <w:rPr>
          <w:b/>
          <w:noProof/>
          <w:sz w:val="24"/>
          <w:szCs w:val="24"/>
        </w:rPr>
        <w:t>Paragrafo único.</w:t>
      </w:r>
      <w:r w:rsidRPr="007307E2">
        <w:rPr>
          <w:noProof/>
          <w:sz w:val="24"/>
          <w:szCs w:val="24"/>
        </w:rPr>
        <w:t xml:space="preserve"> A fonte de recursos para cobertura dos créditos  abertos na forma definida no caput deste artigo é o remanejamento autorizado nos termos do artigo 1º desta Lei</w:t>
      </w:r>
    </w:p>
    <w:p w14:paraId="7CB4A8A4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39B69543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 xml:space="preserve"> </w:t>
      </w:r>
      <w:r w:rsidRPr="007307E2">
        <w:rPr>
          <w:b/>
          <w:noProof/>
          <w:sz w:val="24"/>
          <w:szCs w:val="24"/>
        </w:rPr>
        <w:t>Art. 3º</w:t>
      </w:r>
      <w:r w:rsidRPr="007307E2">
        <w:rPr>
          <w:noProof/>
          <w:sz w:val="24"/>
          <w:szCs w:val="24"/>
        </w:rPr>
        <w:t xml:space="preserve"> O remanejamento autorizado só deverá ser utilizado para remanejar, exclusivamente dotações orçamentárias consignadas nos Orçamentos Fiscal e da Seguridade Social alocadas nos grupos de natureza de despesa.</w:t>
      </w:r>
    </w:p>
    <w:p w14:paraId="2C890495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1F81886B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 – “31” – Pessoal e Encargos Sociais;</w:t>
      </w:r>
    </w:p>
    <w:p w14:paraId="475B44DE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II – “32” – Juros e Encargos da Dívida;</w:t>
      </w:r>
    </w:p>
    <w:p w14:paraId="136DC3E1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III – “33” – Outros Despesas Correntes;</w:t>
      </w:r>
    </w:p>
    <w:p w14:paraId="7500504C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IV – “44” – Investimentos;</w:t>
      </w:r>
    </w:p>
    <w:p w14:paraId="28157157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V – “46” – Amortização da Dívida.</w:t>
      </w:r>
    </w:p>
    <w:p w14:paraId="59A9E8A7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664F2489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  <w:r w:rsidRPr="007307E2">
        <w:rPr>
          <w:b/>
          <w:noProof/>
          <w:sz w:val="24"/>
          <w:szCs w:val="24"/>
        </w:rPr>
        <w:t xml:space="preserve">Art. 4º </w:t>
      </w:r>
      <w:r w:rsidRPr="007307E2">
        <w:rPr>
          <w:noProof/>
          <w:sz w:val="24"/>
          <w:szCs w:val="24"/>
        </w:rPr>
        <w:t>O remanejamento autorizado far-se-a até o limite dos saldos das respectivas dotações vinculadas;</w:t>
      </w:r>
    </w:p>
    <w:p w14:paraId="05397BC2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094D68BE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 – no órgão a programas diferentes;</w:t>
      </w:r>
    </w:p>
    <w:p w14:paraId="79B7FB64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II – no programa a órgão diferentes;</w:t>
      </w:r>
    </w:p>
    <w:p w14:paraId="22341847" w14:textId="77777777" w:rsidR="007D408A" w:rsidRPr="007307E2" w:rsidRDefault="007D408A" w:rsidP="007D408A">
      <w:pPr>
        <w:ind w:left="1416" w:firstLine="708"/>
        <w:jc w:val="both"/>
        <w:rPr>
          <w:noProof/>
          <w:sz w:val="24"/>
          <w:szCs w:val="24"/>
        </w:rPr>
      </w:pPr>
      <w:r w:rsidRPr="007307E2">
        <w:rPr>
          <w:noProof/>
          <w:sz w:val="24"/>
          <w:szCs w:val="24"/>
        </w:rPr>
        <w:t>III – a órgãos e programas diferentes.</w:t>
      </w:r>
    </w:p>
    <w:p w14:paraId="43941377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22BB9480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  <w:r w:rsidRPr="007307E2">
        <w:rPr>
          <w:b/>
          <w:noProof/>
          <w:sz w:val="24"/>
          <w:szCs w:val="24"/>
        </w:rPr>
        <w:t>Paragrafo único.</w:t>
      </w:r>
      <w:r w:rsidRPr="007307E2">
        <w:rPr>
          <w:noProof/>
          <w:sz w:val="24"/>
          <w:szCs w:val="24"/>
        </w:rPr>
        <w:t xml:space="preserve"> O Decreto que autorizar </w:t>
      </w:r>
      <w:r w:rsidRPr="007307E2">
        <w:rPr>
          <w:sz w:val="24"/>
          <w:szCs w:val="24"/>
        </w:rPr>
        <w:t>a transposição, o remanejamento ou a transferência de recursos</w:t>
      </w:r>
      <w:r w:rsidRPr="007307E2">
        <w:rPr>
          <w:noProof/>
          <w:sz w:val="24"/>
          <w:szCs w:val="24"/>
        </w:rPr>
        <w:t xml:space="preserve"> nos limites especificos nesta Lei discriminará os valores remanejados agregados </w:t>
      </w:r>
      <w:r w:rsidRPr="007307E2">
        <w:rPr>
          <w:noProof/>
          <w:sz w:val="24"/>
          <w:szCs w:val="24"/>
        </w:rPr>
        <w:lastRenderedPageBreak/>
        <w:t>segundo as categorias definidas nos artigo 3º desta Lei.</w:t>
      </w:r>
    </w:p>
    <w:p w14:paraId="113CA4EE" w14:textId="77777777" w:rsidR="007D408A" w:rsidRPr="007307E2" w:rsidRDefault="007D408A" w:rsidP="007D408A">
      <w:pPr>
        <w:jc w:val="both"/>
        <w:rPr>
          <w:noProof/>
          <w:sz w:val="24"/>
          <w:szCs w:val="24"/>
        </w:rPr>
      </w:pPr>
    </w:p>
    <w:p w14:paraId="5E8FFB4D" w14:textId="77777777" w:rsidR="007D408A" w:rsidRPr="007307E2" w:rsidRDefault="007D408A" w:rsidP="007D408A">
      <w:pPr>
        <w:jc w:val="both"/>
        <w:rPr>
          <w:sz w:val="24"/>
          <w:szCs w:val="24"/>
        </w:rPr>
      </w:pPr>
      <w:r w:rsidRPr="007307E2">
        <w:rPr>
          <w:b/>
          <w:noProof/>
          <w:sz w:val="24"/>
          <w:szCs w:val="24"/>
        </w:rPr>
        <w:t>Art. 5º</w:t>
      </w:r>
      <w:r w:rsidRPr="007307E2">
        <w:rPr>
          <w:noProof/>
          <w:sz w:val="24"/>
          <w:szCs w:val="24"/>
        </w:rPr>
        <w:t xml:space="preserve"> Esta Lei entra em vigor na data de sua publicação.</w:t>
      </w:r>
    </w:p>
    <w:p w14:paraId="54A8A5B1" w14:textId="77777777" w:rsidR="007D408A" w:rsidRPr="007307E2" w:rsidRDefault="007D408A" w:rsidP="007D408A">
      <w:pPr>
        <w:jc w:val="both"/>
        <w:rPr>
          <w:sz w:val="24"/>
          <w:szCs w:val="24"/>
        </w:rPr>
      </w:pPr>
    </w:p>
    <w:p w14:paraId="64E966A4" w14:textId="346B5667" w:rsidR="007D408A" w:rsidRPr="007307E2" w:rsidRDefault="007307E2" w:rsidP="007D408A">
      <w:pPr>
        <w:jc w:val="both"/>
        <w:rPr>
          <w:sz w:val="24"/>
          <w:szCs w:val="24"/>
        </w:rPr>
      </w:pPr>
      <w:r w:rsidRPr="007307E2">
        <w:rPr>
          <w:noProof/>
          <w:sz w:val="24"/>
          <w:szCs w:val="24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2FB94081" wp14:editId="14DE7D38">
            <wp:simplePos x="0" y="0"/>
            <wp:positionH relativeFrom="margin">
              <wp:posOffset>1707515</wp:posOffset>
            </wp:positionH>
            <wp:positionV relativeFrom="margin">
              <wp:posOffset>842645</wp:posOffset>
            </wp:positionV>
            <wp:extent cx="2533650" cy="11049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39EA2" w14:textId="77777777" w:rsidR="007D408A" w:rsidRPr="007307E2" w:rsidRDefault="007D408A" w:rsidP="007D408A">
      <w:pPr>
        <w:jc w:val="both"/>
        <w:rPr>
          <w:sz w:val="24"/>
          <w:szCs w:val="24"/>
        </w:rPr>
      </w:pPr>
    </w:p>
    <w:p w14:paraId="30B98CC3" w14:textId="164F5588" w:rsidR="007D408A" w:rsidRPr="007307E2" w:rsidRDefault="007D408A" w:rsidP="007D408A">
      <w:pPr>
        <w:jc w:val="both"/>
        <w:rPr>
          <w:sz w:val="24"/>
          <w:szCs w:val="24"/>
        </w:rPr>
      </w:pPr>
    </w:p>
    <w:p w14:paraId="5959DB7F" w14:textId="71430D8A" w:rsidR="007D408A" w:rsidRPr="007307E2" w:rsidRDefault="007D408A" w:rsidP="007D408A">
      <w:pPr>
        <w:pStyle w:val="Corpodetexto"/>
        <w:ind w:left="1134" w:right="1276"/>
        <w:rPr>
          <w:sz w:val="24"/>
          <w:szCs w:val="24"/>
        </w:rPr>
      </w:pPr>
    </w:p>
    <w:p w14:paraId="6C80A117" w14:textId="5C583408" w:rsidR="007D408A" w:rsidRPr="007307E2" w:rsidRDefault="007D408A" w:rsidP="007D408A">
      <w:pPr>
        <w:pStyle w:val="Default"/>
        <w:rPr>
          <w:color w:val="auto"/>
        </w:rPr>
      </w:pPr>
    </w:p>
    <w:p w14:paraId="1DB0CE4B" w14:textId="02D07C3D" w:rsidR="007D408A" w:rsidRPr="007307E2" w:rsidRDefault="007D408A" w:rsidP="007D408A">
      <w:pPr>
        <w:spacing w:before="40"/>
        <w:ind w:right="1558"/>
        <w:rPr>
          <w:b/>
          <w:w w:val="105"/>
          <w:sz w:val="24"/>
          <w:szCs w:val="24"/>
        </w:rPr>
      </w:pPr>
    </w:p>
    <w:p w14:paraId="22E6CC1E" w14:textId="77777777" w:rsidR="007D408A" w:rsidRPr="007307E2" w:rsidRDefault="007D408A" w:rsidP="007D408A">
      <w:pPr>
        <w:pStyle w:val="Cabealho"/>
        <w:jc w:val="center"/>
        <w:rPr>
          <w:sz w:val="24"/>
          <w:szCs w:val="24"/>
        </w:rPr>
      </w:pPr>
    </w:p>
    <w:p w14:paraId="0B316F92" w14:textId="77777777" w:rsidR="007D408A" w:rsidRPr="007307E2" w:rsidRDefault="007D408A" w:rsidP="007D408A">
      <w:pPr>
        <w:pStyle w:val="Cabealho"/>
        <w:jc w:val="center"/>
        <w:rPr>
          <w:sz w:val="24"/>
          <w:szCs w:val="24"/>
        </w:rPr>
      </w:pPr>
    </w:p>
    <w:p w14:paraId="0291F142" w14:textId="77777777" w:rsidR="007D408A" w:rsidRPr="007307E2" w:rsidRDefault="007D408A" w:rsidP="007D408A">
      <w:pPr>
        <w:pStyle w:val="Cabealho"/>
        <w:jc w:val="center"/>
        <w:rPr>
          <w:sz w:val="24"/>
          <w:szCs w:val="24"/>
        </w:rPr>
      </w:pPr>
    </w:p>
    <w:p w14:paraId="33E133D0" w14:textId="77777777" w:rsidR="007D408A" w:rsidRPr="007307E2" w:rsidRDefault="007D408A" w:rsidP="007D408A">
      <w:pPr>
        <w:pStyle w:val="Cabealho"/>
        <w:jc w:val="center"/>
        <w:rPr>
          <w:sz w:val="24"/>
          <w:szCs w:val="24"/>
        </w:rPr>
      </w:pPr>
    </w:p>
    <w:p w14:paraId="618D8D4D" w14:textId="77777777" w:rsidR="007D408A" w:rsidRPr="007307E2" w:rsidRDefault="007D408A" w:rsidP="007D408A">
      <w:pPr>
        <w:pStyle w:val="Cabealho"/>
        <w:jc w:val="center"/>
        <w:rPr>
          <w:sz w:val="24"/>
          <w:szCs w:val="24"/>
        </w:rPr>
      </w:pPr>
    </w:p>
    <w:p w14:paraId="0E72B28B" w14:textId="77777777" w:rsidR="007D408A" w:rsidRPr="007307E2" w:rsidRDefault="007D408A" w:rsidP="007D408A">
      <w:pPr>
        <w:pStyle w:val="Cabealho"/>
        <w:jc w:val="center"/>
        <w:rPr>
          <w:sz w:val="24"/>
          <w:szCs w:val="24"/>
        </w:rPr>
      </w:pPr>
    </w:p>
    <w:p w14:paraId="00B60AEA" w14:textId="3E95B279" w:rsidR="0009040E" w:rsidRPr="007307E2" w:rsidRDefault="0009040E" w:rsidP="007D408A">
      <w:pPr>
        <w:rPr>
          <w:sz w:val="24"/>
          <w:szCs w:val="24"/>
        </w:rPr>
      </w:pPr>
    </w:p>
    <w:sectPr w:rsidR="0009040E" w:rsidRPr="007307E2" w:rsidSect="007D408A">
      <w:headerReference w:type="default" r:id="rId10"/>
      <w:footerReference w:type="default" r:id="rId1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5D94E" w14:textId="77777777" w:rsidR="006A0FF9" w:rsidRDefault="006A0FF9" w:rsidP="007D3944">
      <w:r>
        <w:separator/>
      </w:r>
    </w:p>
  </w:endnote>
  <w:endnote w:type="continuationSeparator" w:id="0">
    <w:p w14:paraId="71CAC972" w14:textId="77777777" w:rsidR="006A0FF9" w:rsidRDefault="006A0FF9" w:rsidP="007D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C8C74" w14:textId="77777777" w:rsidR="007D3944" w:rsidRDefault="007D3944">
    <w:pPr>
      <w:pStyle w:val="Rodap"/>
    </w:pPr>
  </w:p>
  <w:p w14:paraId="68254084" w14:textId="77777777" w:rsidR="007D3944" w:rsidRDefault="007D39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350E8" w14:textId="77777777" w:rsidR="006A0FF9" w:rsidRDefault="006A0FF9" w:rsidP="007D3944">
      <w:r>
        <w:separator/>
      </w:r>
    </w:p>
  </w:footnote>
  <w:footnote w:type="continuationSeparator" w:id="0">
    <w:p w14:paraId="27AC12C2" w14:textId="77777777" w:rsidR="006A0FF9" w:rsidRDefault="006A0FF9" w:rsidP="007D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8E52" w14:textId="77777777" w:rsidR="007307E2" w:rsidRPr="007307E2" w:rsidRDefault="007307E2" w:rsidP="007307E2">
    <w:pPr>
      <w:adjustRightInd w:val="0"/>
      <w:jc w:val="center"/>
      <w:rPr>
        <w:b/>
        <w:bCs/>
        <w:noProof/>
        <w:color w:val="000000"/>
        <w:sz w:val="36"/>
      </w:rPr>
    </w:pPr>
    <w:r w:rsidRPr="007307E2">
      <w:rPr>
        <w:b/>
        <w:noProof/>
        <w:color w:val="000000"/>
        <w:sz w:val="36"/>
        <w:lang w:val="pt-BR" w:eastAsia="pt-BR" w:bidi="ar-SA"/>
      </w:rPr>
      <w:drawing>
        <wp:inline distT="0" distB="0" distL="0" distR="0" wp14:anchorId="3435CD64" wp14:editId="0F153997">
          <wp:extent cx="714375" cy="647700"/>
          <wp:effectExtent l="0" t="0" r="9525" b="0"/>
          <wp:docPr id="448250211" name="Imagem 44825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90" cy="660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AFF6" w14:textId="77777777" w:rsidR="007307E2" w:rsidRPr="007307E2" w:rsidRDefault="007307E2" w:rsidP="007307E2">
    <w:pPr>
      <w:pStyle w:val="SemEspaamento"/>
      <w:jc w:val="center"/>
      <w:rPr>
        <w:rFonts w:ascii="Times New Roman" w:hAnsi="Times New Roman" w:cs="Times New Roman"/>
        <w:sz w:val="24"/>
      </w:rPr>
    </w:pPr>
    <w:r w:rsidRPr="007307E2">
      <w:rPr>
        <w:rFonts w:ascii="Times New Roman" w:hAnsi="Times New Roman" w:cs="Times New Roman"/>
        <w:sz w:val="24"/>
      </w:rPr>
      <w:t>ESTADO DA PARAÍBA</w:t>
    </w:r>
  </w:p>
  <w:p w14:paraId="1E0B57D8" w14:textId="77777777" w:rsidR="007307E2" w:rsidRPr="007307E2" w:rsidRDefault="007307E2" w:rsidP="007307E2">
    <w:pPr>
      <w:pStyle w:val="SemEspaamento"/>
      <w:jc w:val="center"/>
      <w:rPr>
        <w:rFonts w:ascii="Times New Roman" w:hAnsi="Times New Roman" w:cs="Times New Roman"/>
        <w:sz w:val="24"/>
      </w:rPr>
    </w:pPr>
    <w:r w:rsidRPr="007307E2">
      <w:rPr>
        <w:rFonts w:ascii="Times New Roman" w:hAnsi="Times New Roman" w:cs="Times New Roman"/>
        <w:sz w:val="24"/>
      </w:rPr>
      <w:t>PREFEITURA MUNICIPAL DE SANTANA DOS GARROTES</w:t>
    </w:r>
  </w:p>
  <w:p w14:paraId="3A58644E" w14:textId="2C9E160C" w:rsidR="007307E2" w:rsidRDefault="007307E2">
    <w:pPr>
      <w:pStyle w:val="Cabealho"/>
    </w:pPr>
  </w:p>
  <w:p w14:paraId="5FB4D668" w14:textId="37871A34" w:rsidR="007D3944" w:rsidRDefault="007D3944" w:rsidP="002B53F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074C"/>
    <w:multiLevelType w:val="hybridMultilevel"/>
    <w:tmpl w:val="4E1296B0"/>
    <w:lvl w:ilvl="0" w:tplc="62780F4E">
      <w:start w:val="1"/>
      <w:numFmt w:val="decimal"/>
      <w:lvlText w:val="%1."/>
      <w:lvlJc w:val="left"/>
      <w:pPr>
        <w:ind w:left="261" w:hanging="3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BF4B4DE">
      <w:numFmt w:val="bullet"/>
      <w:lvlText w:val="•"/>
      <w:lvlJc w:val="left"/>
      <w:pPr>
        <w:ind w:left="2380" w:hanging="304"/>
      </w:pPr>
      <w:rPr>
        <w:lang w:val="pt-PT" w:eastAsia="en-US" w:bidi="ar-SA"/>
      </w:rPr>
    </w:lvl>
    <w:lvl w:ilvl="2" w:tplc="34B46AB8">
      <w:numFmt w:val="bullet"/>
      <w:lvlText w:val="•"/>
      <w:lvlJc w:val="left"/>
      <w:pPr>
        <w:ind w:left="3104" w:hanging="304"/>
      </w:pPr>
      <w:rPr>
        <w:lang w:val="pt-PT" w:eastAsia="en-US" w:bidi="ar-SA"/>
      </w:rPr>
    </w:lvl>
    <w:lvl w:ilvl="3" w:tplc="B4709C7A">
      <w:numFmt w:val="bullet"/>
      <w:lvlText w:val="•"/>
      <w:lvlJc w:val="left"/>
      <w:pPr>
        <w:ind w:left="3828" w:hanging="304"/>
      </w:pPr>
      <w:rPr>
        <w:lang w:val="pt-PT" w:eastAsia="en-US" w:bidi="ar-SA"/>
      </w:rPr>
    </w:lvl>
    <w:lvl w:ilvl="4" w:tplc="7CEAA06A">
      <w:numFmt w:val="bullet"/>
      <w:lvlText w:val="•"/>
      <w:lvlJc w:val="left"/>
      <w:pPr>
        <w:ind w:left="4553" w:hanging="304"/>
      </w:pPr>
      <w:rPr>
        <w:lang w:val="pt-PT" w:eastAsia="en-US" w:bidi="ar-SA"/>
      </w:rPr>
    </w:lvl>
    <w:lvl w:ilvl="5" w:tplc="6F663E10">
      <w:numFmt w:val="bullet"/>
      <w:lvlText w:val="•"/>
      <w:lvlJc w:val="left"/>
      <w:pPr>
        <w:ind w:left="5277" w:hanging="304"/>
      </w:pPr>
      <w:rPr>
        <w:lang w:val="pt-PT" w:eastAsia="en-US" w:bidi="ar-SA"/>
      </w:rPr>
    </w:lvl>
    <w:lvl w:ilvl="6" w:tplc="7A8A69C6">
      <w:numFmt w:val="bullet"/>
      <w:lvlText w:val="•"/>
      <w:lvlJc w:val="left"/>
      <w:pPr>
        <w:ind w:left="6002" w:hanging="304"/>
      </w:pPr>
      <w:rPr>
        <w:lang w:val="pt-PT" w:eastAsia="en-US" w:bidi="ar-SA"/>
      </w:rPr>
    </w:lvl>
    <w:lvl w:ilvl="7" w:tplc="4B1E3C1E">
      <w:numFmt w:val="bullet"/>
      <w:lvlText w:val="•"/>
      <w:lvlJc w:val="left"/>
      <w:pPr>
        <w:ind w:left="6726" w:hanging="304"/>
      </w:pPr>
      <w:rPr>
        <w:lang w:val="pt-PT" w:eastAsia="en-US" w:bidi="ar-SA"/>
      </w:rPr>
    </w:lvl>
    <w:lvl w:ilvl="8" w:tplc="BF9EBCBE">
      <w:numFmt w:val="bullet"/>
      <w:lvlText w:val="•"/>
      <w:lvlJc w:val="left"/>
      <w:pPr>
        <w:ind w:left="7451" w:hanging="304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4"/>
    <w:rsid w:val="0004283C"/>
    <w:rsid w:val="0009040E"/>
    <w:rsid w:val="000E3CC5"/>
    <w:rsid w:val="00113267"/>
    <w:rsid w:val="00115589"/>
    <w:rsid w:val="002B2582"/>
    <w:rsid w:val="002B53F6"/>
    <w:rsid w:val="00434817"/>
    <w:rsid w:val="0056046A"/>
    <w:rsid w:val="005A42A9"/>
    <w:rsid w:val="005F2797"/>
    <w:rsid w:val="006800CF"/>
    <w:rsid w:val="006A0FF9"/>
    <w:rsid w:val="007006E6"/>
    <w:rsid w:val="007307E2"/>
    <w:rsid w:val="007D3944"/>
    <w:rsid w:val="007D408A"/>
    <w:rsid w:val="00880C2C"/>
    <w:rsid w:val="00C55843"/>
    <w:rsid w:val="00C80534"/>
    <w:rsid w:val="00CC300C"/>
    <w:rsid w:val="00F52BB0"/>
    <w:rsid w:val="00F56749"/>
    <w:rsid w:val="00FD1BC4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0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52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semiHidden/>
    <w:unhideWhenUsed/>
    <w:qFormat/>
    <w:rsid w:val="00FD1BC4"/>
    <w:pPr>
      <w:ind w:left="1986" w:right="1989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semiHidden/>
    <w:rsid w:val="00FD1BC4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D1BC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D1BC4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FD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53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D3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944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2B5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B53F6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2B53F6"/>
    <w:rPr>
      <w:color w:val="000000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52B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52BB0"/>
    <w:pPr>
      <w:ind w:left="261" w:right="134"/>
      <w:jc w:val="both"/>
    </w:pPr>
    <w:rPr>
      <w:rFonts w:ascii="Arial MT" w:eastAsia="Arial MT" w:hAnsi="Arial MT" w:cs="Arial MT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7E2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SemEspaamento">
    <w:name w:val="No Spacing"/>
    <w:uiPriority w:val="1"/>
    <w:qFormat/>
    <w:rsid w:val="007307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52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semiHidden/>
    <w:unhideWhenUsed/>
    <w:qFormat/>
    <w:rsid w:val="00FD1BC4"/>
    <w:pPr>
      <w:ind w:left="1986" w:right="1989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semiHidden/>
    <w:rsid w:val="00FD1BC4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D1BC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D1BC4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FD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53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D3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944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2B5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B53F6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2B53F6"/>
    <w:rPr>
      <w:color w:val="000000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52B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52BB0"/>
    <w:pPr>
      <w:ind w:left="261" w:right="134"/>
      <w:jc w:val="both"/>
    </w:pPr>
    <w:rPr>
      <w:rFonts w:ascii="Arial MT" w:eastAsia="Arial MT" w:hAnsi="Arial MT" w:cs="Arial MT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7E2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SemEspaamento">
    <w:name w:val="No Spacing"/>
    <w:uiPriority w:val="1"/>
    <w:qFormat/>
    <w:rsid w:val="00730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E324-1F1C-4B79-9BC3-679EAB1A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HP</cp:lastModifiedBy>
  <cp:revision>2</cp:revision>
  <cp:lastPrinted>2024-01-12T14:14:00Z</cp:lastPrinted>
  <dcterms:created xsi:type="dcterms:W3CDTF">2024-03-19T13:16:00Z</dcterms:created>
  <dcterms:modified xsi:type="dcterms:W3CDTF">2024-03-19T13:16:00Z</dcterms:modified>
</cp:coreProperties>
</file>